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widowControl w:val="1"/>
        <w:tabs>
          <w:tab w:leader="none" w:pos="709" w:val="left"/>
          <w:tab w:leader="none" w:pos="6816" w:val="left"/>
          <w:tab w:leader="none" w:pos="7050" w:val="left"/>
        </w:tabs>
        <w:ind w:firstLine="0" w:left="0"/>
        <w:jc w:val="left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drawing>
          <wp:anchor allowOverlap="true" behindDoc="false" distB="0" distL="114300" distR="114300" distT="0" layoutInCell="true" locked="false" relativeHeight="251658240" simplePos="false">
            <wp:simplePos x="0" y="0"/>
            <wp:positionH relativeFrom="column">
              <wp:posOffset>2720340</wp:posOffset>
            </wp:positionH>
            <wp:positionV relativeFrom="paragraph">
              <wp:posOffset>58420</wp:posOffset>
            </wp:positionV>
            <wp:extent cx="647700" cy="800100"/>
            <wp:effectExtent b="0" l="0" r="0" t="0"/>
            <wp:wrapNone/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rcRect b="0" l="0" r="0" t="0"/>
                    <a:stretch/>
                  </pic:blipFill>
                  <pic:spPr>
                    <a:xfrm flipH="false" flipV="false" rot="0">
                      <a:ext cx="647700" cy="800100"/>
                    </a:xfrm>
                    <a:prstGeom prst="rect"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color w:val="FF0000"/>
          <w:sz w:val="28"/>
        </w:rPr>
        <w:tab/>
      </w:r>
    </w:p>
    <w:p w14:paraId="04000000">
      <w:pPr>
        <w:widowControl w:val="1"/>
        <w:ind w:firstLine="0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05000000">
      <w:pPr>
        <w:ind w:firstLine="0" w:left="0"/>
        <w:jc w:val="center"/>
        <w:rPr>
          <w:rFonts w:ascii="Times New Roman" w:hAnsi="Times New Roman"/>
          <w:sz w:val="28"/>
        </w:rPr>
      </w:pPr>
    </w:p>
    <w:p w14:paraId="06000000">
      <w:pPr>
        <w:ind w:firstLine="0" w:left="0"/>
        <w:jc w:val="center"/>
        <w:rPr>
          <w:rFonts w:ascii="Times New Roman" w:hAnsi="Times New Roman"/>
          <w:sz w:val="28"/>
        </w:rPr>
      </w:pPr>
    </w:p>
    <w:p w14:paraId="07000000">
      <w:pPr>
        <w:ind w:firstLine="0" w:left="0"/>
        <w:jc w:val="center"/>
        <w:rPr>
          <w:rFonts w:ascii="Times New Roman" w:hAnsi="Times New Roman"/>
          <w:b w:val="1"/>
          <w:spacing w:val="-4"/>
          <w:sz w:val="28"/>
        </w:rPr>
      </w:pPr>
    </w:p>
    <w:p w14:paraId="08000000">
      <w:pPr>
        <w:spacing w:line="360" w:lineRule="auto"/>
        <w:ind w:firstLine="0" w:lef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СОВЕТ МУНИЦИПАЛЬНОГО ОБРАЗОВАНИЯ</w:t>
      </w:r>
    </w:p>
    <w:p w14:paraId="09000000">
      <w:pPr>
        <w:spacing w:line="360" w:lineRule="auto"/>
        <w:ind w:firstLine="0" w:lef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ТУАПСИНСКИЙ МУНИЦИПАЛЬНЫЙ ОКРУГ</w:t>
      </w:r>
    </w:p>
    <w:p w14:paraId="0A000000">
      <w:pPr>
        <w:spacing w:line="360" w:lineRule="auto"/>
        <w:ind w:firstLine="0" w:lef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КРАСНОДАРСКОГО КРАЯ</w:t>
      </w:r>
    </w:p>
    <w:p w14:paraId="0B000000">
      <w:pPr>
        <w:tabs>
          <w:tab w:leader="none" w:pos="3888" w:val="left"/>
        </w:tabs>
        <w:spacing w:line="360" w:lineRule="auto"/>
        <w:ind w:firstLine="0" w:left="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СЕССИЯ – 37</w:t>
      </w:r>
    </w:p>
    <w:p w14:paraId="0C000000">
      <w:pPr>
        <w:tabs>
          <w:tab w:leader="none" w:pos="3888" w:val="left"/>
        </w:tabs>
        <w:ind w:firstLine="0" w:left="0"/>
        <w:jc w:val="center"/>
        <w:rPr>
          <w:rFonts w:ascii="Times New Roman" w:hAnsi="Times New Roman"/>
          <w:b w:val="1"/>
          <w:sz w:val="24"/>
        </w:rPr>
      </w:pPr>
    </w:p>
    <w:p w14:paraId="0D000000">
      <w:pPr>
        <w:tabs>
          <w:tab w:leader="none" w:pos="3888" w:val="left"/>
        </w:tabs>
        <w:ind w:firstLine="0" w:left="0"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pacing w:val="39"/>
          <w:sz w:val="32"/>
        </w:rPr>
        <w:t>РЕШЕНИЕ</w:t>
      </w:r>
    </w:p>
    <w:p w14:paraId="0E000000">
      <w:pPr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                                                                   № ______________</w:t>
      </w:r>
    </w:p>
    <w:p w14:paraId="0F000000">
      <w:pPr>
        <w:ind w:firstLine="0" w:left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Туапсе</w:t>
      </w:r>
    </w:p>
    <w:p w14:paraId="10000000">
      <w:pPr>
        <w:ind w:firstLine="0" w:left="0"/>
        <w:jc w:val="center"/>
        <w:rPr>
          <w:rFonts w:ascii="Times New Roman" w:hAnsi="Times New Roman"/>
          <w:sz w:val="24"/>
        </w:rPr>
      </w:pPr>
    </w:p>
    <w:p w14:paraId="11000000">
      <w:pPr>
        <w:ind w:firstLine="0" w:left="0"/>
        <w:jc w:val="center"/>
        <w:rPr>
          <w:rFonts w:ascii="Times New Roman" w:hAnsi="Times New Roman"/>
          <w:sz w:val="24"/>
        </w:rPr>
      </w:pPr>
    </w:p>
    <w:p w14:paraId="12000000">
      <w:pPr>
        <w:ind w:firstLine="0" w:left="0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О внесении изменений в решение Совета муниципального </w:t>
      </w:r>
    </w:p>
    <w:p w14:paraId="13000000">
      <w:pPr>
        <w:ind w:firstLine="0" w:left="0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образования Туапсинский муниципальный округ </w:t>
      </w:r>
    </w:p>
    <w:p w14:paraId="14000000">
      <w:pPr>
        <w:ind w:firstLine="0" w:left="0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>Краснодарск</w:t>
      </w:r>
      <w:r>
        <w:rPr>
          <w:rFonts w:ascii="Times New Roman" w:hAnsi="Times New Roman"/>
          <w:b w:val="1"/>
          <w:spacing w:val="-2"/>
          <w:sz w:val="28"/>
        </w:rPr>
        <w:t xml:space="preserve">ого края от 17 декабря 2024 г. </w:t>
      </w:r>
      <w:r>
        <w:rPr>
          <w:rFonts w:ascii="Times New Roman" w:hAnsi="Times New Roman"/>
          <w:b w:val="1"/>
          <w:spacing w:val="-2"/>
          <w:sz w:val="28"/>
        </w:rPr>
        <w:t xml:space="preserve">№ 84 </w:t>
      </w:r>
    </w:p>
    <w:p w14:paraId="15000000">
      <w:pPr>
        <w:ind w:firstLine="0" w:left="0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«Об утверждении Положения о порядке </w:t>
      </w:r>
    </w:p>
    <w:p w14:paraId="16000000">
      <w:pPr>
        <w:ind w:firstLine="0" w:left="0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управления и распоряжения имуществом </w:t>
      </w:r>
    </w:p>
    <w:p w14:paraId="17000000">
      <w:pPr>
        <w:widowControl w:val="1"/>
        <w:tabs>
          <w:tab w:leader="none" w:pos="2109" w:val="left"/>
        </w:tabs>
        <w:spacing w:line="240" w:lineRule="auto"/>
        <w:ind w:firstLine="0" w:left="0" w:right="-23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 xml:space="preserve">муниципального образования </w:t>
      </w:r>
      <w:r>
        <w:rPr>
          <w:rFonts w:ascii="Times New Roman" w:hAnsi="Times New Roman"/>
          <w:b w:val="1"/>
          <w:spacing w:val="-2"/>
          <w:sz w:val="28"/>
        </w:rPr>
        <w:t>Туапсинский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</w:p>
    <w:p w14:paraId="18000000">
      <w:pPr>
        <w:widowControl w:val="1"/>
        <w:tabs>
          <w:tab w:leader="none" w:pos="2109" w:val="left"/>
        </w:tabs>
        <w:spacing w:line="240" w:lineRule="auto"/>
        <w:ind w:firstLine="0" w:left="0" w:right="-23"/>
        <w:jc w:val="center"/>
        <w:rPr>
          <w:rFonts w:ascii="Times New Roman" w:hAnsi="Times New Roman"/>
          <w:b w:val="1"/>
          <w:spacing w:val="-2"/>
          <w:sz w:val="28"/>
        </w:rPr>
      </w:pPr>
      <w:r>
        <w:rPr>
          <w:rFonts w:ascii="Times New Roman" w:hAnsi="Times New Roman"/>
          <w:b w:val="1"/>
          <w:spacing w:val="-2"/>
          <w:sz w:val="28"/>
        </w:rPr>
        <w:t>муниципальный округ</w:t>
      </w:r>
      <w:r>
        <w:rPr>
          <w:rFonts w:ascii="Times New Roman" w:hAnsi="Times New Roman"/>
          <w:b w:val="1"/>
          <w:spacing w:val="-2"/>
          <w:sz w:val="28"/>
        </w:rPr>
        <w:t xml:space="preserve"> </w:t>
      </w:r>
      <w:r>
        <w:rPr>
          <w:rFonts w:ascii="Times New Roman" w:hAnsi="Times New Roman"/>
          <w:b w:val="1"/>
          <w:spacing w:val="-2"/>
          <w:sz w:val="28"/>
        </w:rPr>
        <w:t xml:space="preserve">Краснодарского края» </w:t>
      </w:r>
    </w:p>
    <w:p w14:paraId="19000000">
      <w:pPr>
        <w:widowControl w:val="1"/>
        <w:spacing w:line="315" w:lineRule="exact"/>
        <w:ind w:firstLine="0" w:left="0"/>
        <w:jc w:val="left"/>
        <w:rPr>
          <w:rFonts w:ascii="Times New Roman" w:hAnsi="Times New Roman"/>
          <w:b w:val="1"/>
          <w:sz w:val="28"/>
        </w:rPr>
      </w:pPr>
    </w:p>
    <w:p w14:paraId="1A000000">
      <w:pPr>
        <w:widowControl w:val="1"/>
        <w:spacing w:line="315" w:lineRule="exact"/>
        <w:ind w:firstLine="0" w:left="0"/>
        <w:jc w:val="left"/>
        <w:rPr>
          <w:rFonts w:ascii="Times New Roman" w:hAnsi="Times New Roman"/>
          <w:b w:val="1"/>
          <w:sz w:val="28"/>
        </w:rPr>
      </w:pPr>
    </w:p>
    <w:p w14:paraId="1B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4"/>
        </w:rPr>
      </w:pPr>
      <w:r>
        <w:rPr>
          <w:rFonts w:ascii="Times New Roman" w:hAnsi="Times New Roman"/>
          <w:color w:val="1A1A1A"/>
          <w:sz w:val="28"/>
        </w:rPr>
        <w:t xml:space="preserve">Руководствуясь Гражданским </w:t>
      </w:r>
      <w:r>
        <w:rPr>
          <w:rFonts w:ascii="Times New Roman" w:hAnsi="Times New Roman"/>
          <w:color w:val="1A1A1A"/>
          <w:sz w:val="28"/>
        </w:rPr>
        <w:t>кодексом Российской Федерации, ф</w:t>
      </w:r>
      <w:r>
        <w:rPr>
          <w:rFonts w:ascii="Times New Roman" w:hAnsi="Times New Roman"/>
          <w:color w:val="1A1A1A"/>
          <w:sz w:val="28"/>
        </w:rPr>
        <w:t>едеральным</w:t>
      </w:r>
      <w:r>
        <w:rPr>
          <w:rFonts w:ascii="Times New Roman" w:hAnsi="Times New Roman"/>
          <w:color w:val="1A1A1A"/>
          <w:sz w:val="28"/>
        </w:rPr>
        <w:t>и</w:t>
      </w:r>
      <w:r>
        <w:rPr>
          <w:rFonts w:ascii="Times New Roman" w:hAnsi="Times New Roman"/>
          <w:color w:val="1A1A1A"/>
          <w:sz w:val="28"/>
        </w:rPr>
        <w:t xml:space="preserve"> закон</w:t>
      </w:r>
      <w:r>
        <w:rPr>
          <w:rFonts w:ascii="Times New Roman" w:hAnsi="Times New Roman"/>
          <w:color w:val="1A1A1A"/>
          <w:sz w:val="28"/>
        </w:rPr>
        <w:t>а</w:t>
      </w:r>
      <w:r>
        <w:rPr>
          <w:rFonts w:ascii="Times New Roman" w:hAnsi="Times New Roman"/>
          <w:color w:val="1A1A1A"/>
          <w:sz w:val="28"/>
        </w:rPr>
        <w:t>м</w:t>
      </w:r>
      <w:r>
        <w:rPr>
          <w:rFonts w:ascii="Times New Roman" w:hAnsi="Times New Roman"/>
          <w:color w:val="1A1A1A"/>
          <w:sz w:val="28"/>
        </w:rPr>
        <w:t>и</w:t>
      </w:r>
      <w:r>
        <w:rPr>
          <w:rFonts w:ascii="Times New Roman" w:hAnsi="Times New Roman"/>
          <w:color w:val="1A1A1A"/>
          <w:sz w:val="28"/>
        </w:rPr>
        <w:t xml:space="preserve"> от</w:t>
      </w:r>
      <w:r>
        <w:rPr>
          <w:rFonts w:ascii="Times New Roman" w:hAnsi="Times New Roman"/>
          <w:color w:val="1A1A1A"/>
          <w:sz w:val="28"/>
        </w:rPr>
        <w:t xml:space="preserve"> </w:t>
      </w:r>
      <w:r>
        <w:rPr>
          <w:rFonts w:ascii="Times New Roman" w:hAnsi="Times New Roman"/>
          <w:color w:val="1A1A1A"/>
          <w:sz w:val="28"/>
        </w:rPr>
        <w:t>6 октября 2003 г. № 131-ФЗ «Об общих принципах организации местного самоупр</w:t>
      </w:r>
      <w:r>
        <w:rPr>
          <w:rFonts w:ascii="Times New Roman" w:hAnsi="Times New Roman"/>
          <w:color w:val="1A1A1A"/>
          <w:sz w:val="28"/>
        </w:rPr>
        <w:t xml:space="preserve">авления в Российской Федерации», </w:t>
      </w:r>
      <w:r>
        <w:rPr>
          <w:rFonts w:ascii="Times New Roman" w:hAnsi="Times New Roman"/>
          <w:color w:val="1A1A1A"/>
          <w:sz w:val="28"/>
        </w:rPr>
        <w:t xml:space="preserve">                                     </w:t>
      </w:r>
      <w:r>
        <w:rPr>
          <w:rFonts w:ascii="Times New Roman" w:hAnsi="Times New Roman"/>
          <w:sz w:val="28"/>
        </w:rPr>
        <w:t>от 20 марта 2025 г. № 33-ФЗ «Об общих принципах организации местного самоуправления в единой системе публичной власти»,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val="1A1A1A"/>
          <w:sz w:val="28"/>
        </w:rPr>
        <w:t>Совет муниципального образования Туапсинский муниципальный округ Краснодарского края</w:t>
      </w:r>
      <w:r>
        <w:rPr>
          <w:rFonts w:ascii="Times New Roman" w:hAnsi="Times New Roman"/>
          <w:color w:val="1A1A1A"/>
          <w:sz w:val="28"/>
        </w:rPr>
        <w:t xml:space="preserve"> </w:t>
      </w:r>
      <w:r>
        <w:rPr>
          <w:rFonts w:ascii="Times New Roman" w:hAnsi="Times New Roman"/>
          <w:color w:val="1A1A1A"/>
          <w:sz w:val="28"/>
        </w:rPr>
        <w:t xml:space="preserve">                       </w:t>
      </w:r>
      <w:r>
        <w:rPr>
          <w:rFonts w:ascii="Times New Roman" w:hAnsi="Times New Roman"/>
          <w:color w:val="1A1A1A"/>
          <w:sz w:val="28"/>
        </w:rPr>
        <w:t>р</w:t>
      </w:r>
      <w:r>
        <w:rPr>
          <w:rFonts w:ascii="Times New Roman" w:hAnsi="Times New Roman"/>
          <w:color w:val="1A1A1A"/>
          <w:sz w:val="28"/>
        </w:rPr>
        <w:t xml:space="preserve"> е ш и л:</w:t>
      </w:r>
    </w:p>
    <w:p w14:paraId="1C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Внести </w:t>
      </w:r>
      <w:r>
        <w:rPr>
          <w:rFonts w:ascii="Times New Roman" w:hAnsi="Times New Roman"/>
          <w:sz w:val="28"/>
        </w:rPr>
        <w:t xml:space="preserve">в </w:t>
      </w:r>
      <w:r>
        <w:rPr>
          <w:rFonts w:ascii="Times New Roman" w:hAnsi="Times New Roman"/>
          <w:sz w:val="28"/>
        </w:rPr>
        <w:t>решени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Совета муниципального образования Туапсинский муниципальный округ Краснодарск</w:t>
      </w:r>
      <w:r>
        <w:rPr>
          <w:rFonts w:ascii="Times New Roman" w:hAnsi="Times New Roman"/>
          <w:sz w:val="28"/>
        </w:rPr>
        <w:t xml:space="preserve">ого края от 17 декабря 2024 г. </w:t>
      </w:r>
      <w:r>
        <w:rPr>
          <w:rFonts w:ascii="Times New Roman" w:hAnsi="Times New Roman"/>
          <w:sz w:val="28"/>
        </w:rPr>
        <w:t>№ 84 «Об утверждении</w:t>
      </w:r>
      <w:r>
        <w:rPr>
          <w:rFonts w:ascii="Times New Roman" w:hAnsi="Times New Roman"/>
          <w:sz w:val="28"/>
        </w:rPr>
        <w:t xml:space="preserve"> </w:t>
      </w:r>
      <w:bookmarkStart w:id="1" w:name="page2"/>
      <w:bookmarkEnd w:id="1"/>
      <w:r>
        <w:rPr>
          <w:rFonts w:ascii="Times New Roman" w:hAnsi="Times New Roman"/>
          <w:sz w:val="28"/>
        </w:rPr>
        <w:t>Положения о порядке управления и распоряжения имуществом муниципального образования Туапсинский муниципальный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округ Краснодарского края»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изменени</w:t>
      </w:r>
      <w:r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изложив </w:t>
      </w:r>
      <w:r>
        <w:rPr>
          <w:rFonts w:ascii="Times New Roman" w:hAnsi="Times New Roman"/>
          <w:sz w:val="28"/>
        </w:rPr>
        <w:t>пункт</w:t>
      </w:r>
      <w:r>
        <w:rPr>
          <w:rFonts w:ascii="Times New Roman" w:hAnsi="Times New Roman"/>
          <w:sz w:val="28"/>
        </w:rPr>
        <w:t xml:space="preserve"> 81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следующей редакции:</w:t>
      </w:r>
    </w:p>
    <w:p w14:paraId="1D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81. </w:t>
      </w:r>
      <w:r>
        <w:rPr>
          <w:rFonts w:ascii="Times New Roman" w:hAnsi="Times New Roman"/>
          <w:sz w:val="28"/>
        </w:rPr>
        <w:t>Ссудополучателями муниципального имущества могут выступать государственные и муниципальные учреждения, федеральные органы государственной власти, органы государственной власти Краснодарского края, органы местного самоуправления, общественные и религиозные организации (объединения), прочие некоммерческие организации.</w:t>
      </w:r>
    </w:p>
    <w:p w14:paraId="1E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 допускается передача муниципального имущества в безвозмездное пользование коммерческим организациям, за исключением слу</w:t>
      </w:r>
      <w:r>
        <w:rPr>
          <w:rFonts w:ascii="Times New Roman" w:hAnsi="Times New Roman"/>
          <w:sz w:val="28"/>
        </w:rPr>
        <w:t>чаев,</w:t>
      </w:r>
      <w:r>
        <w:rPr>
          <w:rFonts w:ascii="Times New Roman" w:hAnsi="Times New Roman"/>
          <w:sz w:val="28"/>
        </w:rPr>
        <w:t xml:space="preserve"> указанных в подпунктах </w:t>
      </w:r>
      <w:r>
        <w:rPr>
          <w:rFonts w:ascii="Times New Roman" w:hAnsi="Times New Roman"/>
          <w:sz w:val="28"/>
        </w:rPr>
        <w:t>104, 104</w:t>
      </w:r>
      <w:r>
        <w:rPr>
          <w:rFonts w:ascii="Times New Roman" w:hAnsi="Times New Roman"/>
          <w:sz w:val="28"/>
          <w:vertAlign w:val="superscript"/>
        </w:rPr>
        <w:t>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настоящего Положения.</w:t>
      </w:r>
    </w:p>
    <w:p w14:paraId="1F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</w:p>
    <w:p w14:paraId="20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</w:p>
    <w:p w14:paraId="21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Договоров безвозмездного пользования в отношении объектов недвижимого имущества (кроме объектов жилого фонда), движимого имущества, установленного в передаваемом недвижимом имуществе и (или) обеспечивающим его функционирование (в случае необходимости одновременной передачи недвижимого и движимого имущества), движимого имущества,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балансовая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стоимость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которого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 xml:space="preserve"> свыше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100 </w:t>
      </w:r>
      <w:r>
        <w:rPr>
          <w:rFonts w:ascii="Times New Roman" w:hAnsi="Times New Roman"/>
          <w:sz w:val="28"/>
        </w:rPr>
        <w:t xml:space="preserve">  </w:t>
      </w:r>
      <w:r>
        <w:rPr>
          <w:rFonts w:ascii="Times New Roman" w:hAnsi="Times New Roman"/>
          <w:sz w:val="28"/>
        </w:rPr>
        <w:t>тысяч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рублей, </w:t>
      </w:r>
    </w:p>
    <w:p w14:paraId="22000000">
      <w:pPr>
        <w:widowControl w:val="1"/>
        <w:tabs>
          <w:tab w:leader="none" w:pos="0" w:val="left"/>
        </w:tabs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транспортных средств и самоходных машин, не закрепленных на праве хозяйственного ведения и оперативного управления за муниципальными предприятиями и муниципальными учреждениями, осуществляется без проведения конкурсов или аукционов в случаях, </w:t>
      </w:r>
      <w:r>
        <w:rPr>
          <w:rFonts w:ascii="Times New Roman" w:hAnsi="Times New Roman"/>
          <w:sz w:val="28"/>
        </w:rPr>
        <w:t>указанных в части 1 статьи 17.1 З</w:t>
      </w:r>
      <w:r>
        <w:rPr>
          <w:rFonts w:ascii="Times New Roman" w:hAnsi="Times New Roman"/>
          <w:sz w:val="28"/>
        </w:rPr>
        <w:t>акона № 135-ФЗ, на основании письменного заявления о предоставлении объектов муниципальной собственно</w:t>
      </w:r>
      <w:r>
        <w:rPr>
          <w:rFonts w:ascii="Times New Roman" w:hAnsi="Times New Roman"/>
          <w:sz w:val="28"/>
        </w:rPr>
        <w:t xml:space="preserve">сти, решения Совета муниципального образования </w:t>
      </w:r>
      <w:r>
        <w:rPr>
          <w:rFonts w:ascii="Times New Roman" w:hAnsi="Times New Roman"/>
          <w:sz w:val="28"/>
        </w:rPr>
        <w:t>Туапсинский муниципальный округ Краснодарского края.</w:t>
      </w:r>
      <w:r>
        <w:rPr>
          <w:rFonts w:ascii="Times New Roman" w:hAnsi="Times New Roman"/>
          <w:sz w:val="28"/>
        </w:rPr>
        <w:t xml:space="preserve">  </w:t>
      </w:r>
    </w:p>
    <w:p w14:paraId="23000000">
      <w:pPr>
        <w:widowControl w:val="1"/>
        <w:tabs>
          <w:tab w:leader="none" w:pos="0" w:val="left"/>
        </w:tabs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 заключении</w:t>
      </w:r>
      <w:r>
        <w:rPr>
          <w:rFonts w:ascii="Times New Roman" w:hAnsi="Times New Roman"/>
          <w:sz w:val="28"/>
        </w:rPr>
        <w:t xml:space="preserve"> Договоров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соответствии с подпунктом 11 части 1 статьи 17.1 </w:t>
      </w:r>
      <w:r>
        <w:rPr>
          <w:rFonts w:ascii="Times New Roman" w:hAnsi="Times New Roman"/>
          <w:sz w:val="28"/>
        </w:rPr>
        <w:t>З</w:t>
      </w:r>
      <w:r>
        <w:rPr>
          <w:rFonts w:ascii="Times New Roman" w:hAnsi="Times New Roman"/>
          <w:sz w:val="28"/>
        </w:rPr>
        <w:t>акона № 135-ФЗ</w:t>
      </w:r>
      <w:r>
        <w:rPr>
          <w:rFonts w:ascii="Times New Roman" w:hAnsi="Times New Roman"/>
          <w:sz w:val="28"/>
        </w:rPr>
        <w:t xml:space="preserve"> решение </w:t>
      </w:r>
      <w:r>
        <w:rPr>
          <w:rFonts w:ascii="Times New Roman" w:hAnsi="Times New Roman"/>
          <w:sz w:val="28"/>
        </w:rPr>
        <w:t>Совета муниципального образования Туапсинский муниципальный округ Краснодарского края не требуется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».</w:t>
      </w:r>
    </w:p>
    <w:p w14:paraId="24000000">
      <w:pPr>
        <w:widowControl w:val="1"/>
        <w:tabs>
          <w:tab w:leader="none" w:pos="0" w:val="left"/>
        </w:tabs>
        <w:ind w:firstLine="709" w:left="0"/>
        <w:rPr>
          <w:rFonts w:ascii="Times New Roman" w:hAnsi="Times New Roman"/>
          <w:spacing w:val="-1"/>
          <w:sz w:val="28"/>
        </w:rPr>
      </w:pP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pacing w:val="-1"/>
          <w:sz w:val="28"/>
        </w:rPr>
        <w:t>Разместить</w:t>
      </w:r>
      <w:r>
        <w:rPr>
          <w:rFonts w:ascii="Times New Roman" w:hAnsi="Times New Roman"/>
          <w:spacing w:val="-1"/>
          <w:sz w:val="28"/>
        </w:rPr>
        <w:t xml:space="preserve"> настоящее решение на официальном сайте Совета муниципального образования Туапсинский муниципальный округ Краснодарского края в </w:t>
      </w:r>
      <w:r>
        <w:rPr>
          <w:rFonts w:ascii="Times New Roman" w:hAnsi="Times New Roman"/>
          <w:sz w:val="28"/>
        </w:rPr>
        <w:t>информационно-телекоммуникационной сети «Интернет».</w:t>
      </w:r>
    </w:p>
    <w:p w14:paraId="25000000">
      <w:pPr>
        <w:ind w:firstLine="708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1"/>
          <w:sz w:val="28"/>
        </w:rPr>
        <w:t>3</w:t>
      </w:r>
      <w:r>
        <w:rPr>
          <w:rFonts w:ascii="Times New Roman" w:hAnsi="Times New Roman"/>
          <w:spacing w:val="-1"/>
          <w:sz w:val="28"/>
        </w:rPr>
        <w:t xml:space="preserve">. </w:t>
      </w:r>
      <w:r>
        <w:rPr>
          <w:rFonts w:ascii="Times New Roman" w:hAnsi="Times New Roman"/>
          <w:sz w:val="28"/>
        </w:rPr>
        <w:t>Опубликовать настоящее решение в средстве массовой информации – газете (сетевом издании) «Туапсинские вести».</w:t>
      </w:r>
      <w:r>
        <w:rPr>
          <w:rFonts w:ascii="Times New Roman" w:hAnsi="Times New Roman"/>
          <w:sz w:val="28"/>
        </w:rPr>
        <w:tab/>
      </w:r>
    </w:p>
    <w:p w14:paraId="26000000">
      <w:pPr>
        <w:ind w:firstLine="708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>Контроль за</w:t>
      </w:r>
      <w:r>
        <w:rPr>
          <w:rFonts w:ascii="Times New Roman" w:hAnsi="Times New Roman"/>
          <w:sz w:val="28"/>
        </w:rPr>
        <w:t xml:space="preserve"> выполнением настоящего </w:t>
      </w:r>
      <w:r>
        <w:rPr>
          <w:rFonts w:ascii="Times New Roman" w:hAnsi="Times New Roman"/>
          <w:sz w:val="28"/>
        </w:rPr>
        <w:t xml:space="preserve">решения </w:t>
      </w:r>
      <w:r>
        <w:rPr>
          <w:rFonts w:ascii="Times New Roman" w:hAnsi="Times New Roman"/>
          <w:sz w:val="28"/>
        </w:rPr>
        <w:t xml:space="preserve">возложить на комитет Совета муниципального образования Туапсинский муниципальный округ Краснодарского края по вопросам имущественных и земельных отношений, промышленности, строительства, ЖКХ, ТЭК, транспорта и дорожного хозяйства, связи. </w:t>
      </w:r>
    </w:p>
    <w:p w14:paraId="2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Настоящее решение вступает в силу со дня его официального опубликования</w:t>
      </w:r>
      <w:r>
        <w:rPr>
          <w:rFonts w:ascii="Times New Roman" w:hAnsi="Times New Roman"/>
          <w:sz w:val="28"/>
        </w:rPr>
        <w:t xml:space="preserve"> и распространяется на правоотношения</w:t>
      </w:r>
      <w:r>
        <w:rPr>
          <w:rFonts w:ascii="Times New Roman" w:hAnsi="Times New Roman"/>
          <w:sz w:val="28"/>
        </w:rPr>
        <w:t>, возникшие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     </w:t>
      </w:r>
      <w:bookmarkStart w:id="2" w:name="_GoBack"/>
      <w:bookmarkEnd w:id="2"/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5</w:t>
      </w:r>
      <w:r>
        <w:rPr>
          <w:rFonts w:ascii="Times New Roman" w:hAnsi="Times New Roman"/>
          <w:sz w:val="28"/>
        </w:rPr>
        <w:t xml:space="preserve"> июня 2026 г.</w:t>
      </w:r>
    </w:p>
    <w:p w14:paraId="28000000">
      <w:pPr>
        <w:widowControl w:val="1"/>
        <w:tabs>
          <w:tab w:leader="none" w:pos="1523" w:val="left"/>
        </w:tabs>
        <w:ind w:firstLine="0" w:left="0"/>
        <w:rPr>
          <w:rFonts w:ascii="Times New Roman" w:hAnsi="Times New Roman"/>
          <w:sz w:val="28"/>
        </w:rPr>
      </w:pPr>
    </w:p>
    <w:p w14:paraId="29000000">
      <w:pPr>
        <w:widowControl w:val="1"/>
        <w:tabs>
          <w:tab w:leader="none" w:pos="1523" w:val="left"/>
        </w:tabs>
        <w:ind w:firstLine="0" w:left="0"/>
        <w:rPr>
          <w:rFonts w:ascii="Times New Roman" w:hAnsi="Times New Roman"/>
          <w:sz w:val="28"/>
        </w:rPr>
      </w:pPr>
    </w:p>
    <w:p w14:paraId="2A000000">
      <w:pPr>
        <w:widowControl w:val="1"/>
        <w:tabs>
          <w:tab w:leader="none" w:pos="4677" w:val="center"/>
        </w:tabs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</w:t>
      </w:r>
      <w:r>
        <w:rPr>
          <w:rFonts w:ascii="Times New Roman" w:hAnsi="Times New Roman"/>
          <w:sz w:val="28"/>
        </w:rPr>
        <w:t>ла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>а</w:t>
      </w:r>
    </w:p>
    <w:p w14:paraId="2B000000">
      <w:pPr>
        <w:widowControl w:val="1"/>
        <w:tabs>
          <w:tab w:leader="none" w:pos="4677" w:val="center"/>
        </w:tabs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</w:t>
      </w:r>
      <w:r>
        <w:rPr>
          <w:rFonts w:ascii="Times New Roman" w:hAnsi="Times New Roman"/>
          <w:sz w:val="28"/>
        </w:rPr>
        <w:t>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округа                       </w:t>
      </w:r>
      <w:r>
        <w:rPr>
          <w:rFonts w:ascii="Times New Roman" w:hAnsi="Times New Roman"/>
          <w:sz w:val="28"/>
        </w:rPr>
        <w:t xml:space="preserve">          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</w:t>
      </w:r>
      <w:r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>С.А. Бойко</w:t>
      </w:r>
    </w:p>
    <w:p w14:paraId="2C000000">
      <w:pPr>
        <w:widowControl w:val="1"/>
        <w:tabs>
          <w:tab w:leader="none" w:pos="4677" w:val="center"/>
        </w:tabs>
        <w:ind w:firstLine="0" w:left="0"/>
        <w:rPr>
          <w:rFonts w:ascii="Times New Roman" w:hAnsi="Times New Roman"/>
          <w:sz w:val="28"/>
        </w:rPr>
      </w:pPr>
    </w:p>
    <w:p w14:paraId="2D000000">
      <w:pPr>
        <w:widowControl w:val="1"/>
        <w:tabs>
          <w:tab w:leader="none" w:pos="4677" w:val="center"/>
        </w:tabs>
        <w:ind w:firstLine="0" w:left="0"/>
        <w:rPr>
          <w:rFonts w:ascii="Times New Roman" w:hAnsi="Times New Roman"/>
          <w:sz w:val="28"/>
        </w:rPr>
      </w:pPr>
    </w:p>
    <w:p w14:paraId="2E000000">
      <w:pPr>
        <w:widowControl w:val="1"/>
        <w:tabs>
          <w:tab w:leader="none" w:pos="4677" w:val="center"/>
        </w:tabs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</w:t>
      </w:r>
      <w:r>
        <w:rPr>
          <w:rFonts w:ascii="Times New Roman" w:hAnsi="Times New Roman"/>
          <w:sz w:val="28"/>
        </w:rPr>
        <w:t>едседатель Совета</w:t>
      </w:r>
    </w:p>
    <w:p w14:paraId="2F000000">
      <w:pPr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30000000">
      <w:pPr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Туапсинский муниципальный округ</w:t>
      </w:r>
    </w:p>
    <w:p w14:paraId="31000000">
      <w:pPr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                                                                           П.М. Кихтенко</w:t>
      </w:r>
      <w:r>
        <w:br w:type="page"/>
      </w:r>
    </w:p>
    <w:sectPr>
      <w:headerReference r:id="rId1" w:type="default"/>
      <w:pgSz w:h="16838" w:orient="portrait" w:w="11906"/>
      <w:pgMar w:bottom="851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line="240" w:lineRule="auto"/>
      <w:ind w:firstLine="720" w:left="0"/>
      <w:jc w:val="both"/>
    </w:pPr>
    <w:rPr>
      <w:rFonts w:ascii="Arial" w:hAnsi="Arial"/>
      <w:sz w:val="20"/>
    </w:rPr>
  </w:style>
  <w:style w:default="1" w:styleId="Style_2_ch" w:type="character">
    <w:name w:val="Normal"/>
    <w:link w:val="Style_2"/>
    <w:rPr>
      <w:rFonts w:ascii="Arial" w:hAnsi="Arial"/>
      <w:sz w:val="20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footer"/>
    <w:basedOn w:val="Style_2"/>
    <w:link w:val="Style_7_ch"/>
    <w:pPr>
      <w:tabs>
        <w:tab w:leader="none" w:pos="4677" w:val="center"/>
        <w:tab w:leader="none" w:pos="9355" w:val="right"/>
      </w:tabs>
      <w:ind/>
    </w:pPr>
  </w:style>
  <w:style w:styleId="Style_7_ch" w:type="character">
    <w:name w:val="footer"/>
    <w:basedOn w:val="Style_2_ch"/>
    <w:link w:val="Style_7"/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10" w:type="paragraph">
    <w:name w:val="toc 3"/>
    <w:next w:val="Style_2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Balloon Text"/>
    <w:basedOn w:val="Style_2"/>
    <w:link w:val="Style_11_ch"/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heading 5"/>
    <w:next w:val="Style_2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2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2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toc 9"/>
    <w:next w:val="Style_2"/>
    <w:link w:val="Style_18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8_ch" w:type="character">
    <w:name w:val="toc 9"/>
    <w:link w:val="Style_18"/>
    <w:rPr>
      <w:rFonts w:ascii="XO Thames" w:hAnsi="XO Thames"/>
      <w:sz w:val="28"/>
    </w:rPr>
  </w:style>
  <w:style w:styleId="Style_19" w:type="paragraph">
    <w:name w:val="toc 8"/>
    <w:next w:val="Style_2"/>
    <w:link w:val="Style_19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9_ch" w:type="character">
    <w:name w:val="toc 8"/>
    <w:link w:val="Style_19"/>
    <w:rPr>
      <w:rFonts w:ascii="XO Thames" w:hAnsi="XO Thames"/>
      <w:sz w:val="28"/>
    </w:rPr>
  </w:style>
  <w:style w:styleId="Style_20" w:type="paragraph">
    <w:name w:val="List Paragraph"/>
    <w:basedOn w:val="Style_2"/>
    <w:link w:val="Style_20_ch"/>
    <w:pPr>
      <w:ind w:firstLine="0" w:left="720"/>
      <w:contextualSpacing w:val="1"/>
    </w:pPr>
  </w:style>
  <w:style w:styleId="Style_20_ch" w:type="character">
    <w:name w:val="List Paragraph"/>
    <w:basedOn w:val="Style_2_ch"/>
    <w:link w:val="Style_20"/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2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styleId="Style_26" w:type="paragraph">
    <w:name w:val="Default Paragraph Font"/>
    <w:link w:val="Style_26_ch"/>
  </w:style>
  <w:style w:styleId="Style_26_ch" w:type="character">
    <w:name w:val="Default Paragraph Font"/>
    <w:link w:val="Style_26"/>
  </w:style>
  <w:style w:styleId="Style_27" w:type="paragraph">
    <w:name w:val="Body Text Indent"/>
    <w:basedOn w:val="Style_2"/>
    <w:link w:val="Style_27_ch"/>
    <w:pPr>
      <w:spacing w:after="120"/>
      <w:ind w:firstLine="0" w:left="283"/>
    </w:pPr>
  </w:style>
  <w:style w:styleId="Style_27_ch" w:type="character">
    <w:name w:val="Body Text Indent"/>
    <w:basedOn w:val="Style_2_ch"/>
    <w:link w:val="Style_27"/>
  </w:style>
  <w:style w:default="1" w:styleId="Style_28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header1.xml" Type="http://schemas.openxmlformats.org/officeDocument/2006/relationships/head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2026-06-23T06:28:26Z</dcterms:modified>
</cp:coreProperties>
</file>